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идротехническ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4050250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29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5402959-10112010-28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идротехническ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54050250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29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ткрытым акционерным обществом «Исто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100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0104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61-6145010490-18022010-12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ткрытое акционерное общество «Исто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100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0104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70009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460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7046022-15112010-28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70009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460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сстрой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478404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150125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15012520-03122010-28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сстройинве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3478404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150125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