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УНР - 394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40010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117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на FM +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2006430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0863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4086390-04032010-38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лна FM +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2006430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0863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сто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07067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500584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5005846-06062012-911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сто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07067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500584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К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45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40432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404327-07122009-022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К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45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40432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4010006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209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320945-16042010-52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54010006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209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о-Производственная Компания «АрмСиб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10228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1784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317847-10032010-39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о-Производственная Компания «АрмСиб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10228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1784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ельт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98470022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530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53050-05052010-57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ельт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98470022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530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оф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60205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997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399716-26062013-985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оф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60205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997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