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«Архитектурное бюро «Форм унд Раум»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1089848022736,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7842397279)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«ПроЭнергоМаш-Проект»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1072224004379,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2224112995)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«КВОЛИТЕК»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1057810184354,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7801377883)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«Алтайгидропроект»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1022201388384,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2223037181)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«ТИС 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1057746135501,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7721523673)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«Грант-СБ»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1056166007920,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6166052597)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«ТехСтройАктив»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1056162033366,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6162044002)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научно-техническое предприятие «Энергоконтроль»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1025801497710,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5838041477)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«Гражданское и промышленное проектирование»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1073905026865,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3904092924)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«Водоснабжение и водоотведение»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1077761625985,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7715671257)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«Сибкоммунэнерго»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1035403191570,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5407248364)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«Рест-Арт»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1089847011737,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7801458437)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«Профпроект»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1097746180168,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7728696643)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«ПЛЕСКОМ»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1023402643351,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3442045691)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«Городское проектно-эксплуатационное бюро»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1043400415563,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3445066202)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Автономную некоммерческую организацию «АССОЦИАЦИЯ ЦЕНТРОВ ИНЖИНИРИНГА И АВТОМАТИЗАЦИИ»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1057812707919,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7804324576)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1077847322090,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7801436095)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Фирма «Прогноз +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1077203035601,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7202163635)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20.12.2010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20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