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«МегаСтрой»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1089847317780,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7816448382)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С-098-7816448382-24052010-623/4,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«МегаСтрой»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1089847317780,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7816448382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«ЮНИКОР»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1073444004292,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3444144810)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С-034-3444144810-04042014-1026/1,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«ЮНИКОР»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1073444004292,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3444144810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«Веста Строительные проекты»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1109847015255,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7805537376)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С-098-7805537376-11042011-809/3,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«Веста Строительные проекты»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1109847015255,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7805537376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«ВИКОНТ 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1063245001060,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3245002875)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С-032-3245002875-22032013-965/1,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«ВИКОНТ 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1063245001060,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3245002875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Индивидуальным предпринимателем Анищенко Еленой Викторовной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305230219900041,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230203570145)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С-023-230203570145-20032013-964/1,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Индивидуальный предприниматель Анищенко Елена Викторовна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ОГРНИП 305230219900041,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230203570145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«ТИС»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1107847033667,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7841420550)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С-098-7841420550-02062010-640/3,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«Строительная Компания «ТИС»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1107847033667,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7841420550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«ЛокомотивСтрой»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1102224002561,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2224140689)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С-022-2224140689-13042011-811/2,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«ЛокомотивСтрой»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1102224002561,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2224140689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«ВолгоНефтеГазАвтоматика»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1113443001374,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3443103480)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С-034-3443103480-13042011-812/3,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«ВолгоНефтеГазАвтоматика»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1113443001374,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3443103480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