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«ЮгИнтерСервис»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1072302002244,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2302056035)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«ЭНЕРГЕТИЧЕСКИЕ МАШИНЫ»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1057810319511,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7810027437)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«Империя тепла, комфорта и уюта»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1095403012858,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5403234956)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«Гипропроект-Инжиниринг»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1087232017795,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7203215974)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«ФРАНЦ-А»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1027739397586,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7712110824)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«СпецПроектСервис»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1085543007109,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5505201501)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«РАМЭК-ЭКО»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1067847162173,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7802345027)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«ГлавСтрой»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1089848030909,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7814423181)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«Торгово-промышленная компания «Северная корона»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1027808749540,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7817024989)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«Ишимагрострой»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1027201238899,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7217000390)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«Конструктив»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5401309187)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«Строительство и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1085406033877,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5406501504)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1082221001477,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2221131446)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