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12/2010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04 марта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Закрытое акционерное общество «Сибирская перспектива»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1082221001477,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2221131446)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«ЮгИнтерСервис»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1072302002244,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2302056035)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«ЭНЕРГЕТИЧЕСКИЕ МАШИНЫ»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1057810319511,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7810027437)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«Империя тепла, комфорта и уюта»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1095403012858,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5403234956)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«Гипропроект-Инжиниринг»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1087232017795,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7203215974)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«ФРАНЦ-А»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1027739397586,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7712110824)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2.7.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«СпецПроектСервис»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1085543007109,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5505201501)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2.8.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«РАМЭК-ЭКО»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1067847162173,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7802345027)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2.9.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«ГлавСтрой»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1089848030909,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7814423181)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2.10.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Закрытое акционерное общество «Торгово-промышленная компания «Северная корона»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1027808749540,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7817024989)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Открытое акционерное общество «Ишимагрострой»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1027201238899,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7217000390)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«Конструктив»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1085401008990,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5401309187)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«Строительство и Архитектура»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1085406033877,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5406501504)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04 марта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