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«Порядок»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1089847398079,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7816452117)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1085402001783,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5402490971)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«ГЛОБУС»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1063906152144,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3906164395)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1089847225016,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7804392199)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1086027009034,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6027118233)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«Анториус»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1066143048652,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«Вектор+»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1027801576516,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7802168917)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1063905083791,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3905078217)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