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УСА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7461742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0371690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С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4261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7553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вежий ветер С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6700079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02047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кат-Кеск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512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902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антехтепл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3020019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6206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ала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437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51265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М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243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0572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рманн-Заказч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440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2684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рманн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448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2689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МУ-СП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837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916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110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1997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2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