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февраля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«Фирма Гера»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1026103049796,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6162019221)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«Эко Пост»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1027800511067,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7801127146)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«Ситистрой»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1097232035922,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7202202852)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«Каскад-Строй»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1077847021251,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7839351725)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«АлтайСтройКомплект»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1040400741810,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0411117083)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«Северо-Западная Теплоэнергетическая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1063906075639,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3906151646)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«Строй-Гарант СПб»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1089847024046,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7807331557)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«ПромСтройРесурс»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1092221007977,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2221176493)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1077536007680,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7536082209)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«ГОРЫ»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1097847138894,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7807343312)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«Ремонтно-Строительное Управление «МАСТЕР»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1099847022912,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7813459795)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«Гелий»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1026103048322,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6162000326)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«ВДС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1083925010927,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3912500239)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«НикАС»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1047855157008,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7804308060)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«Карельские инженерные 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1021000508572,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1001139247)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«Дизайн-Строй»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1099847031085,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7806423340)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«РИМКО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1023902147290,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3914013150)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Государственное унитарное предприятие города Байконур «Ремонт и строительство № 1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1039923001150,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9901006068)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«СтройТон-М»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1072302000550,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2302054366)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«БалтТехКом»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1089847256245,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7801473026)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«СервисСтрой»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1089847328702,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7811414870)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«Кросс-Энерго»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1089848014750,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7811421098)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«Сибинтех»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1082221002951,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2221132859)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«ОП-Групп»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1079847139910,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7802416951)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«Светлоярский»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1053458066848,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3426010902)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«Группа компаний «С-Дон-Юг»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1052309882350,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2317041730)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«ГазПромСибирь»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1082222000288,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2222070080)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«БСК-инженеринг»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1083925010355,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3917501067)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«ДиЮрССтрой»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1077746369414,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7734559645)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1079847121903,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7810498612)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«Торгово-промышленная фирма «Агрострой»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1022300630461,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2302034673)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04 февраля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