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15/2010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17 марта 2010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«СтройПласт-Юг»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1072646002110,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2624030930)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«ЕВРОСТРОЙ»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1099847021097,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7838435789)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«Спецавтоматика-С»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1089848034924,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7801483289)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2.4.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«АРТЕМИДА-ДОН»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1026101926630,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6143043412)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2.5.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«Гранд»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1075404033540,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5404344912)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2.6.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«Меркурьев и К»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1065917002469,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5917593209)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2.7.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«ИСТА+»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1106193000649,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6161056887)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2.8.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«Веспи»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1026102233926,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6150031633)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2.9.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СК «Анкор»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1102628000012,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2628054435)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2.10.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Закрытое акционерное общество «Дренаж»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1023900554248,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3920004690)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«Архитектурно-строительный трест»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1097847325399,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7806420927)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«СтройЭнерго»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1046002001385,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6037000784)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«Межрегиональная Компания «Транстелесеть»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1042202261848,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2225062120)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2.14.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«Диагональ»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1072222012543,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2222069198)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2.15.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«Бургос»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5067847296127,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7805406359)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2.16.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 «Большечапурниковское коммунальное хозяйство»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1083458001076,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3426012811)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2.17.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«Универсал-строй»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1022501913158,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2538069405)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2.18.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«ГлавСтрой»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1089848030909,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7814423181)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2.19.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«ДонРемСтрой»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1106174000206,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6143073625)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2.20.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«Монтажные Технологии»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1097847325421,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7813457269)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«РосЭлектроСтрой»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1086027009034,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6027118233)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«Стройинвесттехнологии»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1086163003299,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6163092778)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17 марта 2010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