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1076027000720,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«РАМЭК-ВС»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1027802486502,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7804060845)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«Архитектурное бюро Ивана Полякова»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1077847460790,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7838384943)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7838396441)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«Инжиниринг-СМ»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1077203051155,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7203202703)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«ЭЛЬСТАР»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1021100900402,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1106011565)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 - 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1023402969336,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3442033270)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«НТК «АЭРОТЕХНИЧЕСКИЙ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1037821053115,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7810149604)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«Ваагнер-Биро Санкт-Петербург Стейдж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7838396280)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1057810421745,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7804317120)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«Ава-Петер-Строй»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1027809188406,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7825360173)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1097604015882,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7604164565)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