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февраля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«СтройКомПроект»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1067203345110,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7202152312)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1085190015668,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5190193798)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Научно-производственное общество с ограниченной ответственностью «АКОВА»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100119836,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9909182403)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«Проектная компания Альянс»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1105401000385,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5401333140)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«Новосибирский институт Промзернопроект»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1025402454978,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5406198424)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16 февраля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