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терПрай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1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95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Г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1729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831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Партнер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8252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10152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Эталонтех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3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91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2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84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88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нтори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486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29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ралэнерготе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130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7171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