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1117847253017,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7802754439)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1077847210759,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7811370291)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С-098-7811370291-21012010-161/3,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1077847210759,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7811370291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1027200812649,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7203087987)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С-072-7203087987-21012010-168/3,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1027200812649,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7203087987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«Северная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1118602010768,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8602185321)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С-086-8602185321-28102011-869/1,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«Северная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1118602010768,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8602185321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«БСК-инженеринг»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1083925010355,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3917501067)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С-039-3917501067-04022010-249/6,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«БСК-инженеринг»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1083925010355,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3917501067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«Строй-Гарант СПб»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1089847024046,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7807331557)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С-098-7807331557-04022010-237/4,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«Строй-Гарант СПб»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1089847024046,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7807331557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«Феникс-Строй»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1076150000134,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6150052961)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С-061-6150052961-28012010-198/4,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«Феникс-Строй»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1076150000134,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6150052961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«СЭМ-Волгоград»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1123444000976,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3444192099)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С-034-3444192099-24092012-931/2,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«СЭМ-Волгоград»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1123444000976,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3444192099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«СибЭнергоСтрой»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1135476140579,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5404493174)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С-054-5404493174-23092013-1001/2,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«СибЭнергоСтрой»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1135476140579,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5404493174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Монтажная компания «Партнеринвестстрой»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1115053006056,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5053020680)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С-050-5053020680-28092012-932/2,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