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февраля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«Строй-Престиж»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1145958060775,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5908999594)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Муниципального казенного учреждения «Служба заказчика Зеленоградского района»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1053909026082,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3918027065)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«Фирма «ИФ»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1027804609800,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7807012416)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01 февраля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