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307615004500020,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615002477111)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«Унистрой Оптима»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1089848022582,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7802451410)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С-098-7802451410-31032010-462/3,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«Унистрой Оптима»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1089848022582,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7802451410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«Трест Строймеханизация»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1113459005120,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3442117681)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С-034-3442117681-27122011-878/2,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«Трест Строймеханизация»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1113459005120,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3442117681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«ПРИОРИТЕТ-ЖИЗНЬ»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1115476150085,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5401352746)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С-054-5401352746-27122011-879/1,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«ПРИОРИТЕТ-ЖИЗНЬ»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1115476150085,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5401352746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«РегионСпецСтрой»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1089848039412,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7814423840)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С-098-7814423840-02042010-479/3,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«РегионСпецСтрой»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1089848039412,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7814423840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«Конструктив»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1085401008990,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5401309187)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С-054-5401309187-07042010-492/4,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«Конструктив»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1085401008990,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5401309187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1033917002360,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3917018082)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С-039-3917018082-16042010-532/3,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«УПРАВЛЯЮЩАЯ КОМПАНИЯ ЖКХ «ЗЕЛЕНЫЙ ДОМ»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1033917002360,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3917018082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«НОРТО»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1066150028559,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6150049768)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С-061-6150049768-07042010-494/5,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«НОРТО»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1066150028559,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6150049768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«Ленстройреконструкция»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1027806868980,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7813149546)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С-098-7813149546-09042010-495/3,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«Ленстройреконструкция»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1027806868980,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7813149546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«БЦС-Калининград»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1103926004445,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3904614585)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С-039-3904614585-25012013-954/3,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«БЦС-Калининград»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1103926004445,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3904614585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«АванМастер»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1047855057436,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7811303986)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С-098-7811303986-14052010-605/4,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«АванМастер»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1047855057436,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7811303986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«Монтажстрой»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1096188001249,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6101922186)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С-061-6101922186-05042010-484/4,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«Монтажстрой»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1096188001249,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6101922186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«СибТехСервис-Новосибирск»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1065406157838,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5406363974)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С-054-5406363974-07042010-490/6,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«СибТехСервис-Новосибирск»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1065406157838,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5406363974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«ВентЭк»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1076672035615,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6672246091)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С-066-6672246091-11022010-274/3,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