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ство и Архитекту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338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15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КВАНО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807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989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