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3.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4.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6.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«МетроПожМонтаж»</w:t>
      </w:r>
      <w:r w:rsidR="00811F0D" w:rsidRPr="00811F0D">
        <w:rPr>
          <w:sz w:val="22"/>
          <w:szCs w:val="22"/>
          <w:lang w:val="en-US"/>
        </w:rPr>
        <w:t xml:space="preserve"> (ОГРН 1107847220843, ИНН 7840435352)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«Садыхлы»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1135476051193,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5405471984)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«Строительный век»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1115476134432,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5407470383)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6.1.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«Всевлесстрой»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1034700557000,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4703062174)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806 от 17.04.2017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«Всевлесстрой»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1034700557000,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4703062174)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806 от 17.04.2017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«Всевлесстрой»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1034700557000,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4703062174)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6.2.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1077758339724,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7714704830)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842 от 19.04.2017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1077758339724,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7714704830)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842 от 19.04.2017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«ЭнергоПромСтрой»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1077758339724,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7714704830)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