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1103443000429,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3443096152)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«ТермоПластКомпозит»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1063906149944,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3906162983)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1133926037618,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3906306804)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«ДРУЗА»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1133926006741,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3906288560)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1123926070641,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3906279660)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«СтройРитм»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1153926024768,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3906967811)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1073906027997,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3906179539)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1063906148460,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3906162292)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«ГрадоСтрой»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1163926060440,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3917043970)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1123926078627,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3906284156)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1103925020638,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3908607363)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«КСК-ГРУПП»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1137746569850,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7728848511)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1065404013564,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5404267190)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«Логос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1133926023098,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3906297109)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«Гранит 2002»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1033400321481,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3441022807)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«Кристалл»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1063458019800,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3426011470)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1083454000893,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3418102363)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«ГазТеплоМонтаж»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1143926008159,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3906318920)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Оганесяна Саркиса Мартуновича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313345813300022,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342603407996)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1166196109034,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6163150941)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«Большечапурниковское коммунальное хозяйство»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1083458001076,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3426012811)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«ПромЖелдорПуть»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1083461004098,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3448045137)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1126449002437,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6449065364)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«ЮгАвтоСтрой»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1123458000412,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3426014544)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«БЛИК +»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1083022000445,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3001042094)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«Модуль-монтаж»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1103443001507,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3443097300)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1113458001249,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3426014304)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«БК-ТЕРМИНАЛ»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1159102070335,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9111015626)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«Глобус»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1113435005870,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3435106738)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14.06.2017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1073905021321,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3905086240)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1153926017475,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3906963038)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Муниципального бюджетного учреждения «Управление муниципального хозяйства»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1063458003300,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3426011293)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Открытым акционерным обществом «Катуньгэсстрой»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1020400664129,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0408002981)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С-004-0408002981-14052010-598/4,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Открытое акционерное общество «Катуньгэсстрой»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1020400664129,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0408002981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«ЕвроРос»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1073905024016,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3904091720)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С-039-3904091720-06042011-806/3,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«ЕвроРос»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1073905024016,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3904091720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 «Логос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1143926024010,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3906329840)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С-063-78-1032-39-26082016,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«СК «Логос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1143926024010,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3906329840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1112302001371,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2302067051)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С-063-78-0855-23-14102016,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«ГрандСтрой»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1112302001371,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2302067051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