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28/2019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сентября 2019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«СпецСтройСтандартРеконструкция»</w:t>
      </w:r>
      <w:r w:rsidR="00B9210B" w:rsidRPr="00241327">
        <w:rPr>
          <w:sz w:val="22"/>
          <w:szCs w:val="22"/>
          <w:lang w:val="en-US"/>
        </w:rPr>
        <w:t xml:space="preserve"> (ОГРН 1057812757958,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7807309368)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«СпецСтройСтандартРеконструкция»</w:t>
      </w:r>
      <w:r w:rsidRPr="00496A50">
        <w:rPr>
          <w:sz w:val="22"/>
          <w:szCs w:val="22"/>
        </w:rPr>
        <w:t xml:space="preserve"> (ОГРН 1057812757958,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7807309368)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23 сентября 2019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