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августа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«Парма»</w:t>
      </w:r>
      <w:r w:rsidR="00B9210B" w:rsidRPr="00241327">
        <w:rPr>
          <w:sz w:val="22"/>
          <w:szCs w:val="22"/>
          <w:lang w:val="en-US"/>
        </w:rPr>
        <w:t xml:space="preserve"> (ОГРН 1155958011813,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5903113300)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«Парма»</w:t>
      </w:r>
      <w:r w:rsidRPr="00496A50">
        <w:rPr>
          <w:sz w:val="22"/>
          <w:szCs w:val="22"/>
        </w:rPr>
        <w:t xml:space="preserve"> (ОГРН 1155958011813,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5903113300)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«Парма»</w:t>
      </w:r>
      <w:r w:rsidRPr="00823293">
        <w:rPr>
          <w:sz w:val="22"/>
          <w:szCs w:val="22"/>
        </w:rPr>
        <w:t xml:space="preserve"> (ОГРН 1155958011813, ИНН 5903113300)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августа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