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Акционерное общество «ТоннельМетроСтрой»</w:t>
      </w:r>
      <w:r w:rsidR="00B9210B" w:rsidRPr="00241327">
        <w:rPr>
          <w:sz w:val="22"/>
          <w:szCs w:val="22"/>
          <w:lang w:val="en-US"/>
        </w:rPr>
        <w:t xml:space="preserve"> (ОГРН 1237800047803,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7813671992)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Акционерного общества «ТоннельМетроСтрой»</w:t>
      </w:r>
      <w:r w:rsidRPr="00496A50">
        <w:rPr>
          <w:sz w:val="22"/>
          <w:szCs w:val="22"/>
        </w:rPr>
        <w:t xml:space="preserve"> (ОГРН 1237800047803,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7813671992)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Акционерного общества «ТоннельМетроСтрой»</w:t>
      </w:r>
      <w:r w:rsidRPr="00823293">
        <w:rPr>
          <w:sz w:val="22"/>
          <w:szCs w:val="22"/>
        </w:rPr>
        <w:t xml:space="preserve"> (ОГРН 1237800047803, ИНН 7813671992)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