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1037828008899,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7813059532)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«СТЭН»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5067847002449,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7841335791)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«САЙГОН»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1077847323949,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7811372531)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1027810358520,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7826034817)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«ИнтерСтрой»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1047796917420,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7722532078)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1027800563471,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