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29 июня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«Строительное управление - 1»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1102224000768,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2224138792)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Строительная компания «Кредо»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1086164009986,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6164283849)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«Сибстрой»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1115476039084,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5404434482)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«НЕВА-ТРЕЙД»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1077847521575,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7804367805)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«ИнвестСтрой»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1106659000480,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6659199678)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«ГЛОБУС»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1063906152144,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3906164395)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«Мехколоннастрой»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1026000902619,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6002007309)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Закрытого акционерного общества «АВС-КЛИМАТ»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5067847542109,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7810079837)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3.5.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«Северо-Западная инвестиционная компания»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1037800102273,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7801242519)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29 июня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