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1089847113135,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7811401655)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«Вега-777»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1023901646922,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3907027916)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1079847123597,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7814392871)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«РемСтрой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1102223011131,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2223579184)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1072221002050,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2221124142)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1079847121903,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7810498612)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С-098-7810498612-16122009-041/3,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«ПромСтрой»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1079847121903,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7810498612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«О.С.Т - Балтик»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1097847234759,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7810562709)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С-098-7810562709-28012010-196/2,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«О.С.Т - Балтик»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1097847234759,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7810562709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14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