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«ВОДГЕО»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1047200556094,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7204081378)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Воронежа «Водоканал Воронежа»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1033600002215,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3665034781)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Строительно-Производственная Компания «АрмСибСтрой»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1085401022827,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5401317847)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«ССТ (системы современного телевидения)»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1022201381300,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2223040480)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1097847138894,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7807343312)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ТехКонтрольСтрой» муниципального образования «Гвардейский район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1103925022794,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3916501667)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«Современные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1083925013480,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