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«ГидроСибАльянс»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1115476115083,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5406684400)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«Надземное и подземное строительство. 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1023900999495,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3906025419)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«Бизнес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1115476031362,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5406663350)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1027402542012,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7448000180)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«Стройком»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1092223005819,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2223971507)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24.04.2012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