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энерго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167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556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три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16623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675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хитектурная студия «АрхГрад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612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650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Группа Компаний «Технический Аудит и Управление Недвижимостью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340032549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156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