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«Петроспектива»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1107847044337,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7806426862)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«Современные Строительные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1127847245668,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7801573775)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«МБК-Строй»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1066164206790,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6164257711)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СПЕЦИАЛЬНЫХ РЕШЕНИЙ»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1072225000275,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2225082574)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«ВолгоПромМонтаж»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1073444011200,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3444151800)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