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«Проектно Строительная Компания ГидроНаука»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1123926041140,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3906268002)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«Архитектурная мастерская ПЛАН»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1057810241180,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7839313751)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1067746631920,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7743596812)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«Петроэнергострой»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1089848015333,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7810534853)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«Ваагнер-Биро Санкт-Петербург Стейдж Системз»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1079847107559,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7838396280)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«Созидание 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1025002691889,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5021003001)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«Энергосервис»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1106174001262,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6143074594)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