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56/2012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04 июля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«Архитектурная мастерская ПЛАН»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1057810241180,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7839313751)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«ПРОСТ»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1067746631920,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7743596812)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«Петроэнергострой»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1089848015333,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7810534853)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«Ваагнер-Биро Санкт-Петербург Стейдж Системз»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1079847107559,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7838396280)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2.5.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«Проектно Строительная Компания ГидроНаука»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1123926041140,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3906268002)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2.6.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«Созидание 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1025002691889,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5021003001)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2.7.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«Энергосервис»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1106174001262,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6143074594)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04 июля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