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К «Жилстрой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6498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499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Промышленно-строительная компания «ИнСтройПр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0377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8547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фирма «Л. А. имп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10015327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19290984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ьюКом 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721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954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нтори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4304865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629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мплекс-НефтеГаз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