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307660628900010,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660601919516)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1064705010116,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4705031326)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«Техносвет-Сервис»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1057813001355,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7810044305)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«АлтайКапСтрой»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1082222003203,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2222072793)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Управление-19»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1089848009679,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7814422156)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«Диагональ»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1072222012543,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2222069198)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С-022-2222069198-17032010-411/2,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«Диагональ»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1072222012543,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2222069198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«Элитстрой-Усть-Кан»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1080404000445,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0403005516)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С-004-0403005516-24032010-439/3,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«Элитстрой-Усть-Кан»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1080404000445,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0403005516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«Дортранссигнал»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1023901013432,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3906100391)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С-039-3906100391-23042010-544/2,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города Калининграда «Дортранссигнал»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1023901013432,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3906100391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«РЕКА»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1027801576000,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7802021992)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С-098-7802021992-07052010-588/2,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«РЕКА»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1027801576000,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7802021992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«СпецСтройСоюз»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1107847039211,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7838438719)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С-098-7838438719-17052010-608/2,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«СпецСтройСоюз»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1107847039211,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7838438719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1107847036769,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7842424758)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С-098-7842424758-17052010-610/2,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1107847036769,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7842424758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«СтройСвет»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1105402003211,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5402524557)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С-054-5402524557-19052010-615/3,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«СтройСвет»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1105402003211,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5402524557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«Максистрой»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1107847043391,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7802494413)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С-098-7802494413-19052010-617/2,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«Максистрой»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1107847043391,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7802494413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«Производственно-строительная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1105402003431,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5402524797)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С-054-5402524797-21052010-620/2,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«Производственно-строительная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1105402003431,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5402524797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1046165008867,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6165114882)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С-061-6165114882-02062010-637/2,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1046165008867,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6165114882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«ТПК СтройМаг»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1077847615735,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7840371959)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С-098-7840371959-02062010-638/2,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«ТПК СтройМаг»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1077847615735,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7840371959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«Гебос экостатиба»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Код 302430306,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9909335956)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С-099-9909335956-15042011-813/1,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«Гебос экостатиба»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Код 302430306,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9909335956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«Витязь»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1106186000910,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6153028131)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С-061-6153028131-08042011-807/1,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«Витязь»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1106186000910,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6153028131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