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400011073,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400011073)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«Запсибагропромспецпроект»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1025401926230,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5405106565)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«Л1строй»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7805148651)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«Пегас»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1089847365156,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7838415197)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«Абрис»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1077847128853,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7801432238)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