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88/2012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октября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Объединение «Комплексная автоматизация»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1047855153378,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7838310691)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«ГЕО-Инжиниринг»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1077847427855,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7816416158)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«Сибинтех-Проект»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1082221007725,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2221137568)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Научно-производственная строительная компания «СКИП»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1075405001418,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5405335565)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Открытое акционерное общество «Донаэродорстрой»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1026103158730,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6163002069)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октября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