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ою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350012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139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талон-Вес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392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69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еник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01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296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Южге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643021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4351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Ра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19558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902415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ралМонтаж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65900049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5919961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о-Производственная Компания «АрмСи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10228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1784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сигнал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4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384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Д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70128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686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етопол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300389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17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