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1123435001238,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3435113950)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«Эталон-Вест-Строй»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1123926039214,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3906266911)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«Феникс-Строй»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1076150000134,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6150052961)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«Южгеология»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1056164302138,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6164243518)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1023901955824,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3909024156)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«УралМонтажРемонт»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1106659000491,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6659199614)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Строительно-Производственная Компания «АрмСибСтрой»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1085401022827,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5401317847)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5407053848)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«МДК»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1095407012800,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5407068690)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«Бетопол-Инжиниринг»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1096183003894,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6150061719)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