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1127847373940,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7814542213)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«Мехколоннастрой»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1026000902619,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6002007309)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«Группа компаний «С-Дон-Юг»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1052309882350,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2317041730)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«ГОРЫ»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1097847138894,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7807343312)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С-098-7807343312-04022010-230/3,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«ГОРЫ»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1097847138894,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7807343312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«СтройПрофиль»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1089847333322,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7801477599)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С-098-7801477599-07122009-025/3,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«СтройПрофиль»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1089847333322,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7801477599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1107847052830,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7838439222)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С-098-7838439222-09062010-648/7,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«ДСК»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1107847052830,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7838439222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«ЖД 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1077847048124,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7820309649)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С-098-7820309649-21122009-063/4,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«ЖД 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1077847048124,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7820309649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«Ремонтно-строительная Компания «Галион»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1089847025740,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7813402781)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С-098-7813402781-05042010-485/5,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«Ремонтно-строительная Компания «Галион»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1089847025740,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7813402781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«Импульс Промышленные Котельные»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1025002880154,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5024051405)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С-050-5024051405-07122009-026/3,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«Импульс Промышленные Котельные»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1025002880154,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5024051405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«Невский Регион»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1077847549966,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7816421528)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С-098-7816421528-25122009-101/4,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«Невский Регион»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1077847549966,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7816421528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