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119/2012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23 ноября 2012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 xml:space="preserve"> </w:t>
      </w:r>
    </w:p>
    <w:p w14:paraId="04CC787F" w14:textId="77777777" w:rsidR="000746EF" w:rsidRPr="00F00BC7" w:rsidRDefault="00436E78" w:rsidP="000746EF">
      <w:pPr>
        <w:ind w:left="360"/>
        <w:jc w:val="both"/>
        <w:rPr>
          <w:sz w:val="22"/>
          <w:szCs w:val="22"/>
        </w:rPr>
      </w:pPr>
      <w:r w:rsidRPr="00612838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«Алтайгазаппарат»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1022201518019,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2224073168)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Партнерства </w:t>
      </w:r>
      <w:r w:rsidR="00436E78" w:rsidRPr="00B07057">
        <w:rPr>
          <w:b/>
          <w:sz w:val="22"/>
          <w:szCs w:val="22"/>
        </w:rPr>
        <w:t>Общество с ограниченной ответственностью «Инжиниринг»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1089847250657,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7806390704)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290F82CD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5319BB61" w14:textId="77777777" w:rsidR="000746EF" w:rsidRPr="00811F0D" w:rsidRDefault="00436E78" w:rsidP="000746EF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23 ноября 2012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