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«Флоор системз»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1089848039654,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7811422486)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«Финансово-строительный 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1115476074130,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5406674070)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«Колизей»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1107847053170,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7841421458)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С-098-7841421458-31032010-463/3,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«Колизей»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1107847053170,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7841421458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«Модуль»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1089847258929,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7840393430)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С-098-7840393430-04022011-778/2,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«Модуль»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1089847258929,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7840393430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«АлтайКапСтрой»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1082222003203,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2222072793)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С-022-2222072793-15022010-327/3,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«АлтайКапСтрой»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1082222003203,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2222072793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«МонтажТехСтрой - Плюс»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1053900160555,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3908032475)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С-039-3908032475-02042010-481/3,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«МонтажТехСтрой - Плюс»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1053900160555,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3908032475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«СпецДорСтрой»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1073917002015,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3917033362)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С-039-3917033362-26032010-451/3,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«СпецДорСтрой»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1073917002015,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3917033362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1100411000580,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0411148927)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С-004-0411148927-22032010-432/3,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1100411000580,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0411148927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 ПЕТЕРБУРГ»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1107847023778,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7805511297)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С-098-7805511297-19032010-431/3,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«СК ПЕТЕРБУРГ»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1107847023778,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7805511297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«Дон-Строй»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1106183000351,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6150062198)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С-061-6150062198-15032010-402/5,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«Дон-Строй»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1106183000351,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6150062198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«СтройПласт-Юг»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1072646002110,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2624030930)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С-026-2624030930-21012010-151/7,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«СтройПласт-Юг»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1072646002110,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2624030930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