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60/2013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«СК «Логос 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1133926023098,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3906297109)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«Межрегиональная Промышленная Компания - Энерго»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1123926052403,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3906274648)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«С-Дон-2010»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1106195006158,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6163103525)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«Аэропорт «Храброво»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1093925037931,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3917505777)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«ВодоКаналСтрой»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1137847041837,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7816554870)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