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Хижняка Владислава Геннадьевича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310222505000051,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222504490500)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«Феникс-Строй»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1076150000134,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6150052961)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01.10.2013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«Старлинг»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1103460000786,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3445108808)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П-034-3445108808-10062011-338/2,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«Старлинг»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1103460000786,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3445108808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«Студия «ЗУМ-Дизайн»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1097847333253,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7805505840)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П-098-7805505840-02062010-230/3,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«Студия «ЗУМ-Дизайн»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1097847333253,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7805505840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«Пегас»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1089847365156,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7838415197)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П-098-7838415197-02062010-229/3,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«Пегас»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1089847365156,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7838415197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«КБ ЛЕНТЕХПРОЕКТ»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1107847131457,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7801518566)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П-098-7801518566-15092010-269/2,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«КБ ЛЕНТЕХПРОЕКТ»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1107847131457,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7801518566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«Архитектура» города Алейска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1022200508956,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2201000741)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П-022-2201000741-10092010-266/2,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унитарное предприятие «Архитектура» города Алейска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1022200508956,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2201000741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«Архитектурное бюро «Форм унд Раум»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1089848022736,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7842397279)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П-098-7842397279-20122010-291/2,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«Архитектурное бюро «Форм унд Раум»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1089848022736,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7842397279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«Газэнергомонтаж»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1025501594711,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5515010062)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П-055-5515010062-01072011-340/3,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«Газэнергомонтаж»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1025501594711,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5515010062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