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469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191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ОТИК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4308922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56828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25682861-16042010-53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ОТИК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4308922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56828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онЕвр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61500296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255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52552-16042010-521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онЕвр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61500296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255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аучно-производственное объединение «Аксиом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573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6574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465742-30042010-57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аучно-производственное объединение «Аксиом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573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6574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КАД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11362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342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034269-07052010-58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КАД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11362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342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изводственное ремонтно-строительное управление-7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050069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1027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5410276-28042010-56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изводственное ремонтно-строительное управление-7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4050069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1027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