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1143926014517,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3906323302)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«СМУ-Дондорстрой»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1066164171050,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6164248080)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