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1143926024010,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3906329840)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Буйло Дмитрия Ивановича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313236328300015,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233403431627)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1142308006565,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2308210117)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«Сибирский строитель»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1102225002582,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2225108141)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С-022-2225108141-11062010-657/4,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«Сибирский строитель»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1102225002582,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2225108141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«Отопительные 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1093444007601,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3444174269)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С-034-3444174269-12052010-594/3,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«Отопительные 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1093444007601,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3444174269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ПКФ «Кристалл»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1025401908784,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5405241469)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С-054-5405241469-16032012-889/1,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ПКФ «Кристалл»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1025401908784,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5405241469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«Атлантпромресурс»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1033910500656,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3913007837)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С-039-3913007837-04052011-824/2,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«Атлантпромресурс»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1033910500656,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3913007837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1113926007062,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3906231147)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С-039-3906231147-04052011-823/2,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1113926007062,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3906231147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«Вертикаль»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1066150003171,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6150046693)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С-061-6150046693-19052010-613/3,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«Вертикаль»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1066150003171,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6150046693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«БалтСтрой»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1089847058388,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7813405077)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С-098-7813405077-18062010-678/4,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«БалтСтрой»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1089847058388,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7813405077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«РосТеплоСтрой»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1089847032241,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7814396851)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С-098-7814396851-18062010-679/4,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«РосТеплоСтрой»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1089847032241,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7814396851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«ПРОФЛАЙН»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1064706017397,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4706024811)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С-047-4706024811-04062010-644/4,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«ПРОФЛАЙН»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1064706017397,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4706024811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«Лифт-Эксперт»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1115476015478,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5404430671)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С-054-5404430671-04052011-822/3,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«Лифт-Эксперт»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1115476015478,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5404430671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«Элитстрой-Онгудай»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1080404000533,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0404007530)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С-004-0404007530-10032010-399/4,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«Элитстрой-Онгудай»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1080404000533,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0404007530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«Новосибирский строительный трест»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1055404180534,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5404262610)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С-054-5404262610-08042011-808/2,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